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Career and College Promise (CCP)</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enroll in Career and College Promise to get a jumpstart on earning college credits for free! The purpose of CCP is to offer structured opportunities for qualified high school students to dually enroll in community college courses that provide pathways that lead to a certificate, diploma, or degree as well as provide entry-level job skills.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Pathways include: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Transfer Pathways (CTP)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the completion of at least 30 semester hours of transfer courses, including English and mathematics, except for the Associate Degree Nursing (ADN) pathway.</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Career and Technical Education Pathways (CTE)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curriculum Career and Technical Education Pathway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leading to a certificate or diploma aligned with a high school career cluster.</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Workforce Continuing Education Pathway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leading to a State or industry-recognized credential aligned with a high school career cluster.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can be active in two pathways**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Transfer Pathways (CTP)</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 AS, ADN, AA-TP, AS-TP</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pathway will not earn you the full Associate degree, but gives you the opportunity to get 24+ hours towards your Associate degree)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requirements: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 1:</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igh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unior or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enior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unweighted high school GPA of 2.8 or higher </w:t>
      </w:r>
    </w:p>
    <w:p w:rsidR="00000000" w:rsidDel="00000000" w:rsidP="00000000" w:rsidRDefault="00000000" w:rsidRPr="00000000" w14:paraId="00000015">
      <w:pPr>
        <w:ind w:left="720" w:firstLine="0"/>
        <w:rPr>
          <w:b w:val="1"/>
        </w:rPr>
      </w:pPr>
      <w:r w:rsidDel="00000000" w:rsidR="00000000" w:rsidRPr="00000000">
        <w:rPr>
          <w:b w:val="1"/>
          <w:rtl w:val="0"/>
        </w:rPr>
        <w:t xml:space="preserve">OR</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Demonstration college readiness on an approved assessment or placement test in English, reading,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mathematics)</w:t>
      </w:r>
    </w:p>
    <w:p w:rsidR="00000000" w:rsidDel="00000000" w:rsidP="00000000" w:rsidRDefault="00000000" w:rsidRPr="00000000" w14:paraId="00000017">
      <w:pPr>
        <w:rPr>
          <w:b w:val="1"/>
        </w:rPr>
      </w:pPr>
      <w:r w:rsidDel="00000000" w:rsidR="00000000" w:rsidRPr="00000000">
        <w:rPr>
          <w:b w:val="1"/>
          <w:rtl w:val="0"/>
        </w:rPr>
        <w:t xml:space="preserve">Option 2:</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w:t>
      </w:r>
      <w:r w:rsidDel="00000000" w:rsidR="00000000" w:rsidRPr="00000000">
        <w:rPr>
          <w:rtl w:val="0"/>
        </w:rPr>
        <w:t xml:space="preserve">High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Freshman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Sophomore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identified as AIG in English/reading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college readiness in English, reading,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 on an approved assessment (see Attachment A)</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recommendation verifying the student has maturity to enroll from the high school principal,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recommendation of the AIG coordinator,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t>
      </w:r>
      <w:r w:rsidDel="00000000" w:rsidR="00000000" w:rsidRPr="00000000">
        <w:rPr>
          <w:rtl w:val="0"/>
        </w:rPr>
        <w:t xml:space="preserve">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college’s Vice President of Curriculum,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written consent of the student’s parent/guardian,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academic advising prior to enrollment in the program.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form – meets all requirements)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Career and Technical Education Pathways (CTE) &amp; Workforce Continuing Education (WCE)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requirements: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 1:</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w:t>
      </w:r>
      <w:r w:rsidDel="00000000" w:rsidR="00000000" w:rsidRPr="00000000">
        <w:rPr>
          <w:rtl w:val="0"/>
        </w:rPr>
        <w:t xml:space="preserve">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gh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unior or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enior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unweighted high school GPA of 2.8 or higher </w:t>
      </w:r>
    </w:p>
    <w:p w:rsidR="00000000" w:rsidDel="00000000" w:rsidP="00000000" w:rsidRDefault="00000000" w:rsidRPr="00000000" w14:paraId="00000022">
      <w:pPr>
        <w:ind w:left="720" w:firstLine="0"/>
        <w:rPr>
          <w:b w:val="1"/>
        </w:rPr>
      </w:pPr>
      <w:r w:rsidDel="00000000" w:rsidR="00000000" w:rsidRPr="00000000">
        <w:rPr>
          <w:b w:val="1"/>
          <w:rtl w:val="0"/>
        </w:rPr>
        <w:t xml:space="preserve">OR</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Demonstration college readiness on an approved assessment or placement test in English, reading,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mathematics (see Attachment 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recommendation of the high school principal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rationale for the recommendation in place of the GPA requirement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recommendation of the college’s VP of Curriculum. (HS GPA waiver meets all requirements)</w:t>
      </w:r>
    </w:p>
    <w:p w:rsidR="00000000" w:rsidDel="00000000" w:rsidP="00000000" w:rsidRDefault="00000000" w:rsidRPr="00000000" w14:paraId="00000026">
      <w:pPr>
        <w:jc w:val="center"/>
        <w:rPr>
          <w:b w:val="1"/>
        </w:rPr>
      </w:pPr>
      <w:r w:rsidDel="00000000" w:rsidR="00000000" w:rsidRPr="00000000">
        <w:rPr>
          <w:b w:val="1"/>
          <w:rtl w:val="0"/>
        </w:rPr>
        <w:t xml:space="preserve">**WCE require students be a junior or senior**</w:t>
      </w:r>
    </w:p>
    <w:p w:rsidR="00000000" w:rsidDel="00000000" w:rsidP="00000000" w:rsidRDefault="00000000" w:rsidRPr="00000000" w14:paraId="00000027">
      <w:pPr>
        <w:rPr>
          <w:b w:val="1"/>
        </w:rPr>
      </w:pPr>
      <w:r w:rsidDel="00000000" w:rsidR="00000000" w:rsidRPr="00000000">
        <w:rPr>
          <w:b w:val="1"/>
          <w:rtl w:val="0"/>
        </w:rPr>
        <w:t xml:space="preserve">CTE Option 2:</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w:t>
      </w:r>
      <w:r w:rsidDel="00000000" w:rsidR="00000000" w:rsidRPr="00000000">
        <w:rPr>
          <w:rtl w:val="0"/>
        </w:rPr>
        <w:t xml:space="preserve">High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Freshman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Sophomore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recommendation verifying the student has maturity to enroll from the high school principal,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recommendation of the AIG coordinator,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t>
      </w:r>
      <w:r w:rsidDel="00000000" w:rsidR="00000000" w:rsidRPr="00000000">
        <w:rPr>
          <w:rtl w:val="0"/>
        </w:rPr>
        <w:t xml:space="preserve">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college’s Vice President of Curriculum,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written consent of the student’s parent/guardian,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academic advising prior to enrollment in the program.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form – meets all requirements)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 Math 1 with a grade of C or better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Score a 3, 4, or 5 on the End of Course assessment (EOC) for Math 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Score a 3, 4, or 5 on the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ELA assessment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Or</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w:t>
      </w:r>
      <w:r w:rsidDel="00000000" w:rsidR="00000000" w:rsidRPr="00000000">
        <w:rPr>
          <w:rtl w:val="0"/>
        </w:rPr>
        <w:t xml:space="preserve">High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Freshman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Sophomore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recommendation verifying the student has maturity to enroll from the high school principal,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recommendation of the AIG coordinator,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t>
      </w:r>
      <w:r w:rsidDel="00000000" w:rsidR="00000000" w:rsidRPr="00000000">
        <w:rPr>
          <w:rtl w:val="0"/>
        </w:rPr>
        <w:t xml:space="preserve">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college’s Vice President of Curriculum,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written consent of the student’s parent/guardian,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academic advising prior to enrollment in the program.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form – meets all requirements)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college readiness in English, reading,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 on an approved assessment (see Attachment A)</w:t>
      </w:r>
    </w:p>
    <w:p w:rsidR="00000000" w:rsidDel="00000000" w:rsidP="00000000" w:rsidRDefault="00000000" w:rsidRPr="00000000" w14:paraId="00000031">
      <w:pPr>
        <w:rPr>
          <w:b w:val="1"/>
        </w:rPr>
      </w:pPr>
      <w:r w:rsidDel="00000000" w:rsidR="00000000" w:rsidRPr="00000000">
        <w:rPr>
          <w:b w:val="1"/>
          <w:rtl w:val="0"/>
        </w:rPr>
        <w:t xml:space="preserve">Maintaining Eligibility (All Pathways)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make progress towards high school graduation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meet eligibility criteria above (high school GPA)</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2.0 GPA in college coursework after completing two courses</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falls below a 2.0 GPA after completing two college courses will be subject to the college’s academic warning, probation, and suspension policy</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6791A"/>
    <w:pPr>
      <w:spacing w:after="0" w:line="240" w:lineRule="auto"/>
    </w:pPr>
  </w:style>
  <w:style w:type="paragraph" w:styleId="ListParagraph">
    <w:name w:val="List Paragraph"/>
    <w:basedOn w:val="Normal"/>
    <w:uiPriority w:val="34"/>
    <w:qFormat w:val="1"/>
    <w:rsid w:val="00626B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k9z5HAVTxhgPEfxBzvcyi6rAoQ==">AMUW2mUzpoxOh8gSlJdLQmLlaadCXDB0pNj/DDfV+69pTEl6D1l4RGgzSBstEn2aItq43EKEepoweimc3eKbJVYSW4dm6sf7a8Ip6FYp+2teBD07sXWODD5rckeb9lRJw1CgwOyi0CNA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2023-03-08T14:30:00Z</dcterms:created>
  <dc:creator>Elizabeth Howard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0x01010061D84DC44065434DA80E14C70843DDC1</vt:lpwstr>
  </property>
</Properties>
</file>